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BC" w:rsidRPr="00144092" w:rsidRDefault="00590BD7" w:rsidP="0026289F">
      <w:pPr>
        <w:jc w:val="both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-333375</wp:posOffset>
                </wp:positionV>
                <wp:extent cx="6753225" cy="401955"/>
                <wp:effectExtent l="10160" t="9525" r="8890" b="266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225" cy="4019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1.95pt;margin-top:-26.25pt;width:531.75pt;height:31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oyUtQIAAIMFAAAOAAAAZHJzL2Uyb0RvYy54bWysVEtv3CAQvlfqf0DcG3ud9T6seKNkN6kq&#10;pQ8pqXpmAduoGCiwa6e/vgP2bqykp6o+WMDMfPPN8+q6byU6cuuEViWeXaQYcUU1E6ou8fen+w8r&#10;jJwnihGpFS/xM3f4evP+3VVnCp7pRkvGLQIQ5YrOlLjx3hRJ4mjDW+IutOEKhJW2LfFwtXXCLOkA&#10;vZVJlqaLpNOWGaspdw5ed4MQbyJ+VXHqv1aV4x7JEgM3H/82/vfhn2yuSFFbYhpBRxrkH1i0RChw&#10;eobaEU/QwYo3UK2gVjtd+Quq20RXlaA8xgDRzNJX0Tw2xPAYCyTHmXOa3P+DpV+O3ywSDGqHkSIt&#10;lOiJ9x7d6h5lITudcQUoPRpQ8z08B80QqTMPmv50SOltQ1TNb6zVXcMJA3azYJlMTAccF0D23WfN&#10;wA05eB2B+sq2ARCSgQAdqvR8rkygQuFxscwvsyzHiIJsns7WeR5dkOJkbazzH7luUTiU2ELlIzo5&#10;Pjgf2JDipDLWid0LKZHV/ofwTUz1KbTagU3UcshoiCcdIrb1fistOhJopvv4jSRqN9WepeF7a3K7&#10;2O3uVhMT4HR2JYVCkMYS5/PBHDlKJI+FGehDl0bKwZVUqAO22fLkR0txFropz3W23e22o1M3VWuF&#10;h9GToi3xanAJfkgRSninWDx7IuRwBqpSBTGPQzXmRx8A4rFhHWIiZD1bXa5h4JmACbtcpYt0vcSI&#10;yBpWA/UWv0r2X1KUpflqsRwKJ01DhlznMZ9DFsbgYkHP7uNtwiy2Xui2oe98v+/BOvTjXrNnaEKo&#10;euw02FxwaLT9jVEHW6DE7teBWI6R/KSg8OvZfB7WRrzM82UGFzuV7KcSoihAldhD0PG49cOqORgr&#10;6gY8DaOj9A00fyViX76wGkcGJj3GM26lsEqm96j1sjs3fwAAAP//AwBQSwMEFAAGAAgAAAAhAHVO&#10;UJbjAAAACwEAAA8AAABkcnMvZG93bnJldi54bWxMj8tOwzAQRfdI/IM1SN21DgnpI41TVZUQICGg&#10;aRFbN54mUeNxiN02/D3OCnZ3NEd3zqSrXjfsgp2tDQm4nwTAkAqjaioF7HeP4zkw6yQp2RhCAT9o&#10;YZXd3qQyUeZKW7zkrmS+hGwiBVTOtQnntqhQSzsxLZLfHU2npfNjV3LVyasv1w0Pg2DKtazJX6hk&#10;i5sKi1N+1gI2+VO8fth9P3/yj7f8PXqdvXy1MyFGd/16Ccxh7/5gGPS9OmTe6WDOpCxrBIzDaOFR&#10;H+IwBjYQQbSYAjsMaQ48S/n/H7JfAAAA//8DAFBLAQItABQABgAIAAAAIQC2gziS/gAAAOEBAAAT&#10;AAAAAAAAAAAAAAAAAAAAAABbQ29udGVudF9UeXBlc10ueG1sUEsBAi0AFAAGAAgAAAAhADj9If/W&#10;AAAAlAEAAAsAAAAAAAAAAAAAAAAALwEAAF9yZWxzLy5yZWxzUEsBAi0AFAAGAAgAAAAhABGijJS1&#10;AgAAgwUAAA4AAAAAAAAAAAAAAAAALgIAAGRycy9lMm9Eb2MueG1sUEsBAi0AFAAGAAgAAAAhAHVO&#10;UJbjAAAACwEAAA8AAAAAAAAAAAAAAAAADwUAAGRycy9kb3ducmV2LnhtbFBLBQYAAAAABAAEAPMA&#10;AAAfBgAAAAA=&#10;" strokecolor="#92cddc" strokeweight="1pt">
                <v:fill color2="#b6dde8" rotate="t" focus="100%" type="gradient"/>
                <v:shadow on="t" color="#205867" opacity=".5" offset="1pt"/>
                <v:textbox>
                  <w:txbxContent>
                    <w:p w:rsidR="00955B28" w:rsidRPr="00BF05E8" w:rsidRDefault="004C75EA" w:rsidP="00FC47BC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 w:val="40"/>
                          <w:szCs w:val="40"/>
                        </w:rPr>
                        <w:t>Hoja Metodológica</w:t>
                      </w:r>
                      <w:r w:rsidR="00955B28" w:rsidRPr="00BF05E8">
                        <w:rPr>
                          <w:rFonts w:ascii="Garamond" w:hAnsi="Garamond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EA3240">
                        <w:rPr>
                          <w:rFonts w:ascii="Garamond" w:hAnsi="Garamond"/>
                          <w:b/>
                          <w:bCs/>
                          <w:sz w:val="40"/>
                          <w:szCs w:val="40"/>
                        </w:rPr>
                        <w:t>del Indicador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3D3EEF" w:rsidRPr="00FE2CEC" w:rsidTr="006E44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7E7BFC" w:rsidRDefault="003D2B37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  <w:r w:rsidRPr="007E7BFC">
              <w:rPr>
                <w:rFonts w:ascii="Calibri" w:hAnsi="Calibri"/>
                <w:b/>
                <w:color w:val="000000"/>
                <w:sz w:val="24"/>
                <w:szCs w:val="24"/>
              </w:rPr>
              <w:t>Nombre de</w:t>
            </w:r>
            <w:r w:rsidR="00A261B0" w:rsidRPr="007E7BFC">
              <w:rPr>
                <w:rFonts w:ascii="Calibri" w:hAnsi="Calibri"/>
                <w:b/>
                <w:color w:val="000000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214D5F" w:rsidRDefault="00214D5F" w:rsidP="0014409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sz w:val="24"/>
                <w:szCs w:val="24"/>
                <w:lang w:val="es-CL"/>
              </w:rPr>
            </w:pPr>
            <w:r w:rsidRPr="00214D5F">
              <w:rPr>
                <w:rFonts w:ascii="Calibri" w:hAnsi="Calibri"/>
                <w:b w:val="0"/>
                <w:sz w:val="24"/>
                <w:szCs w:val="24"/>
                <w:lang w:val="es-CL"/>
              </w:rPr>
              <w:t xml:space="preserve">Consumo intermedio </w:t>
            </w:r>
            <w:r w:rsidR="00F113A9">
              <w:rPr>
                <w:rFonts w:ascii="Calibri" w:hAnsi="Calibri"/>
                <w:b w:val="0"/>
                <w:sz w:val="24"/>
                <w:szCs w:val="24"/>
                <w:lang w:val="es-CL"/>
              </w:rPr>
              <w:t xml:space="preserve">del sector </w:t>
            </w:r>
            <w:r w:rsidR="00785F16">
              <w:rPr>
                <w:rFonts w:ascii="Calibri" w:hAnsi="Calibri"/>
                <w:b w:val="0"/>
                <w:sz w:val="24"/>
                <w:szCs w:val="24"/>
                <w:lang w:val="es-CL"/>
              </w:rPr>
              <w:t>Comercio Interno</w:t>
            </w:r>
            <w:r w:rsidR="00F113A9">
              <w:rPr>
                <w:rFonts w:ascii="Calibri" w:hAnsi="Calibri"/>
                <w:b w:val="0"/>
                <w:sz w:val="24"/>
                <w:szCs w:val="24"/>
                <w:lang w:val="es-CL"/>
              </w:rPr>
              <w:t>.</w:t>
            </w:r>
          </w:p>
        </w:tc>
      </w:tr>
      <w:tr w:rsidR="007463A5" w:rsidRPr="00FE2CEC" w:rsidTr="006E4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463A5" w:rsidRPr="007E7BFC" w:rsidRDefault="007463A5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  <w:r w:rsidRPr="007E7BFC">
              <w:rPr>
                <w:rFonts w:ascii="Calibri" w:hAnsi="Calibri"/>
                <w:b/>
                <w:color w:val="000000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7463A5" w:rsidRPr="006E4451" w:rsidRDefault="007463A5" w:rsidP="003F5A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4"/>
                <w:szCs w:val="24"/>
                <w:lang w:val="es-CL"/>
              </w:rPr>
            </w:pPr>
            <w:r w:rsidRPr="006E4451">
              <w:rPr>
                <w:rFonts w:ascii="Calibri" w:hAnsi="Calibri"/>
                <w:sz w:val="24"/>
                <w:szCs w:val="24"/>
                <w:lang w:val="es-CL"/>
              </w:rPr>
              <w:t>Encuesta</w:t>
            </w:r>
            <w:r w:rsidR="006E4451" w:rsidRPr="006E4451">
              <w:rPr>
                <w:rFonts w:ascii="Calibri" w:hAnsi="Calibri"/>
                <w:sz w:val="24"/>
                <w:szCs w:val="24"/>
                <w:lang w:val="es-CL"/>
              </w:rPr>
              <w:t xml:space="preserve"> </w:t>
            </w:r>
          </w:p>
        </w:tc>
      </w:tr>
      <w:tr w:rsidR="007463A5" w:rsidRPr="00FE2CEC" w:rsidTr="006E44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463A5" w:rsidRPr="007E7BFC" w:rsidRDefault="007463A5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  <w:r w:rsidRPr="007E7BFC">
              <w:rPr>
                <w:rFonts w:ascii="Calibri" w:hAnsi="Calibri"/>
                <w:b/>
                <w:color w:val="000000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7463A5" w:rsidRPr="007207D2" w:rsidRDefault="007463A5" w:rsidP="007463A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eastAsia="Calibri" w:cs="Arial"/>
                <w:sz w:val="20"/>
                <w:lang w:val="es-EC" w:eastAsia="es-EC"/>
              </w:rPr>
              <w:t>Son los insumos que se utilizan para producir otros bienes y servicios.</w:t>
            </w:r>
          </w:p>
        </w:tc>
      </w:tr>
      <w:tr w:rsidR="007463A5" w:rsidRPr="00FE2CEC" w:rsidTr="006E4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463A5" w:rsidRPr="007E7BFC" w:rsidRDefault="007463A5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  <w:r w:rsidRPr="007E7BFC">
              <w:rPr>
                <w:rFonts w:ascii="Calibri" w:hAnsi="Calibri"/>
                <w:b/>
                <w:color w:val="000000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7463A5" w:rsidRPr="00144092" w:rsidRDefault="003F5ADD" w:rsidP="0014409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D</w:t>
            </w:r>
            <w:r w:rsidR="007463A5" w:rsidRPr="00144092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ólares.</w:t>
            </w:r>
          </w:p>
        </w:tc>
      </w:tr>
      <w:tr w:rsidR="007463A5" w:rsidRPr="00FE2CEC" w:rsidTr="006E44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463A5" w:rsidRPr="007E7BFC" w:rsidRDefault="007463A5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  <w:r w:rsidRPr="007E7BFC">
              <w:rPr>
                <w:rFonts w:ascii="Calibri" w:hAnsi="Calibri"/>
                <w:b/>
                <w:color w:val="000000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7463A5" w:rsidRDefault="007E7BFC" w:rsidP="007463A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s-CL"/>
                </w:rPr>
                <m:t xml:space="preserve">                                      CI=INS+GO</m:t>
              </m:r>
            </m:oMath>
            <w:r w:rsidR="007463A5" w:rsidRPr="00144092">
              <w:rPr>
                <w:rFonts w:ascii="Calibri" w:hAnsi="Calibri"/>
                <w:sz w:val="24"/>
                <w:szCs w:val="24"/>
                <w:lang w:val="es-CL"/>
              </w:rPr>
              <w:t xml:space="preserve"> </w:t>
            </w:r>
          </w:p>
          <w:p w:rsidR="007463A5" w:rsidRDefault="007463A5" w:rsidP="007463A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463A5" w:rsidRDefault="007463A5" w:rsidP="007463A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CI: Consumo intermedio</w:t>
            </w:r>
          </w:p>
          <w:p w:rsidR="007463A5" w:rsidRDefault="007463A5" w:rsidP="007463A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INS: Insumos</w:t>
            </w:r>
          </w:p>
          <w:p w:rsidR="007463A5" w:rsidRDefault="007463A5" w:rsidP="007463A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GO: Gastos de operación</w:t>
            </w:r>
          </w:p>
          <w:p w:rsidR="003F5ADD" w:rsidRPr="00144092" w:rsidRDefault="003F5ADD" w:rsidP="007463A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  <w:lang w:val="es-CL"/>
              </w:rPr>
            </w:pPr>
          </w:p>
        </w:tc>
      </w:tr>
      <w:tr w:rsidR="007463A5" w:rsidRPr="00FE2CEC" w:rsidTr="006E4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463A5" w:rsidRPr="007E7BFC" w:rsidRDefault="007463A5" w:rsidP="00144092">
            <w:pPr>
              <w:jc w:val="both"/>
              <w:rPr>
                <w:rFonts w:ascii="Calibri" w:hAnsi="Calibri"/>
                <w:bCs w:val="0"/>
                <w:sz w:val="24"/>
                <w:szCs w:val="24"/>
              </w:rPr>
            </w:pPr>
            <w:r w:rsidRPr="007E7BF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7463A5" w:rsidRPr="007E7BFC" w:rsidRDefault="007463A5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</w:pP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>INSUMOS</w:t>
            </w:r>
          </w:p>
          <w:p w:rsidR="00CE1289" w:rsidRDefault="00CE1289" w:rsidP="00F113A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eastAsia="Calibri" w:cs="Arial"/>
                <w:sz w:val="20"/>
                <w:lang w:val="es-EC" w:eastAsia="es-EC"/>
              </w:rPr>
              <w:t>Son todos los bienes físicos no duraderos, que el establecimiento ha utilizado para la producción de artículos para la venta, o para la</w:t>
            </w:r>
          </w:p>
          <w:p w:rsidR="00CE1289" w:rsidRDefault="00CE1289" w:rsidP="00F113A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proofErr w:type="gramStart"/>
            <w:r>
              <w:rPr>
                <w:rFonts w:eastAsia="Calibri" w:cs="Arial"/>
                <w:sz w:val="20"/>
                <w:lang w:val="es-EC" w:eastAsia="es-EC"/>
              </w:rPr>
              <w:t>ejecución</w:t>
            </w:r>
            <w:proofErr w:type="gramEnd"/>
            <w:r>
              <w:rPr>
                <w:rFonts w:eastAsia="Calibri" w:cs="Arial"/>
                <w:sz w:val="20"/>
                <w:lang w:val="es-EC" w:eastAsia="es-EC"/>
              </w:rPr>
              <w:t xml:space="preserve"> de servicios que presta.</w:t>
            </w:r>
          </w:p>
          <w:p w:rsidR="007E7BFC" w:rsidRDefault="007E7BFC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eastAsia="Calibri" w:cs="Arial"/>
                <w:sz w:val="20"/>
                <w:lang w:val="es-EC" w:eastAsia="es-EC"/>
              </w:rPr>
              <w:t>Comprenden: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Materias primas.- </w:t>
            </w:r>
            <w:r>
              <w:rPr>
                <w:rFonts w:eastAsia="Calibri" w:cs="Arial"/>
                <w:sz w:val="20"/>
                <w:lang w:val="es-EC" w:eastAsia="es-EC"/>
              </w:rPr>
              <w:t>Son todos aquellos elementos físicos, que luego de transformarlos pasan a formar parte del producto final. Estos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proofErr w:type="gramStart"/>
            <w:r>
              <w:rPr>
                <w:rFonts w:eastAsia="Calibri" w:cs="Arial"/>
                <w:sz w:val="20"/>
                <w:lang w:val="es-EC" w:eastAsia="es-EC"/>
              </w:rPr>
              <w:t>pueden</w:t>
            </w:r>
            <w:proofErr w:type="gramEnd"/>
            <w:r>
              <w:rPr>
                <w:rFonts w:eastAsia="Calibri" w:cs="Arial"/>
                <w:sz w:val="20"/>
                <w:lang w:val="es-EC" w:eastAsia="es-EC"/>
              </w:rPr>
              <w:t xml:space="preserve"> ser productos primarios, semielaborados, elaborados o finales.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Materiales auxiliares.- </w:t>
            </w:r>
            <w:r>
              <w:rPr>
                <w:rFonts w:eastAsia="Calibri" w:cs="Arial"/>
                <w:sz w:val="20"/>
                <w:lang w:val="es-EC" w:eastAsia="es-EC"/>
              </w:rPr>
              <w:t>Son todos aquellos bienes auxiliares que coadyuvan al proceso de producción y que en él se consumen.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Repuestos y accesorios.- </w:t>
            </w:r>
            <w:r>
              <w:rPr>
                <w:rFonts w:eastAsia="Calibri" w:cs="Arial"/>
                <w:sz w:val="20"/>
                <w:lang w:val="es-EC" w:eastAsia="es-EC"/>
              </w:rPr>
              <w:t>Son todos aquellos bienes que se usan en la reparación y mantenimiento de la maquinaria y otros bienes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proofErr w:type="gramStart"/>
            <w:r>
              <w:rPr>
                <w:rFonts w:eastAsia="Calibri" w:cs="Arial"/>
                <w:sz w:val="20"/>
                <w:lang w:val="es-EC" w:eastAsia="es-EC"/>
              </w:rPr>
              <w:t>de</w:t>
            </w:r>
            <w:proofErr w:type="gramEnd"/>
            <w:r>
              <w:rPr>
                <w:rFonts w:eastAsia="Calibri" w:cs="Arial"/>
                <w:sz w:val="20"/>
                <w:lang w:val="es-EC" w:eastAsia="es-EC"/>
              </w:rPr>
              <w:t xml:space="preserve"> activo fijo, (corrientes, no de capital).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Envases y embalajes.- </w:t>
            </w:r>
            <w:r>
              <w:rPr>
                <w:rFonts w:eastAsia="Calibri" w:cs="Arial"/>
                <w:sz w:val="20"/>
                <w:lang w:val="es-EC" w:eastAsia="es-EC"/>
              </w:rPr>
              <w:t>Son aquellos bienes que se usan para envasar y embalar los productos del establecimiento.</w:t>
            </w:r>
          </w:p>
          <w:p w:rsidR="007E7BFC" w:rsidRDefault="007E7BFC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</w:pP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>GASTOS DE OPERACIÓN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eastAsia="Calibri" w:cs="Arial"/>
                <w:sz w:val="20"/>
                <w:lang w:val="es-EC" w:eastAsia="es-EC"/>
              </w:rPr>
              <w:t>Son aquellos desembolsos realizados por el establecimiento en la obtención de servicios y materiales de oficina, para la operación del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eastAsia="Calibri" w:cs="Arial"/>
                <w:sz w:val="20"/>
                <w:lang w:val="es-EC" w:eastAsia="es-EC"/>
              </w:rPr>
              <w:t>establecimiento y se los agrupado en los siguientes: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>Trabajos de reparación y mantenimiento (hechos por terceros).</w:t>
            </w:r>
            <w:r>
              <w:rPr>
                <w:rFonts w:eastAsia="Calibri" w:cs="Arial"/>
                <w:sz w:val="20"/>
                <w:lang w:val="es-EC" w:eastAsia="es-EC"/>
              </w:rPr>
              <w:t>- Son los pagos que el establecimiento ha realizado a favor de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proofErr w:type="gramStart"/>
            <w:r>
              <w:rPr>
                <w:rFonts w:eastAsia="Calibri" w:cs="Arial"/>
                <w:sz w:val="20"/>
                <w:lang w:val="es-EC" w:eastAsia="es-EC"/>
              </w:rPr>
              <w:t>terceros</w:t>
            </w:r>
            <w:proofErr w:type="gramEnd"/>
            <w:r>
              <w:rPr>
                <w:rFonts w:eastAsia="Calibri" w:cs="Arial"/>
                <w:sz w:val="20"/>
                <w:lang w:val="es-EC" w:eastAsia="es-EC"/>
              </w:rPr>
              <w:t>, por los trabajos de reparación y mantenimiento de los activos del establecimiento, (corrientes, no de capital).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Fletes y gastos de transporte.- </w:t>
            </w:r>
            <w:r>
              <w:rPr>
                <w:rFonts w:eastAsia="Calibri" w:cs="Arial"/>
                <w:sz w:val="20"/>
                <w:lang w:val="es-EC" w:eastAsia="es-EC"/>
              </w:rPr>
              <w:t>Son los pagos que ha efectuado el establecimiento por los servicios de transporte recibidos. Se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proofErr w:type="gramStart"/>
            <w:r>
              <w:rPr>
                <w:rFonts w:eastAsia="Calibri" w:cs="Arial"/>
                <w:sz w:val="20"/>
                <w:lang w:val="es-EC" w:eastAsia="es-EC"/>
              </w:rPr>
              <w:t>excluye</w:t>
            </w:r>
            <w:proofErr w:type="gramEnd"/>
            <w:r>
              <w:rPr>
                <w:rFonts w:eastAsia="Calibri" w:cs="Arial"/>
                <w:sz w:val="20"/>
                <w:lang w:val="es-EC" w:eastAsia="es-EC"/>
              </w:rPr>
              <w:t xml:space="preserve"> el transporte de los trabajadores, el mismo que forma parte de otras remuneraciones.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Energía Eléctrica comprada.- </w:t>
            </w:r>
            <w:r>
              <w:rPr>
                <w:rFonts w:eastAsia="Calibri" w:cs="Arial"/>
                <w:sz w:val="20"/>
                <w:lang w:val="es-EC" w:eastAsia="es-EC"/>
              </w:rPr>
              <w:t>Son los valores pagados por la energía utilizada por el establecimiento.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Combustibles y lubricantes.- </w:t>
            </w:r>
            <w:r>
              <w:rPr>
                <w:rFonts w:eastAsia="Calibri" w:cs="Arial"/>
                <w:sz w:val="20"/>
                <w:lang w:val="es-EC" w:eastAsia="es-EC"/>
              </w:rPr>
              <w:t>Son los valores pagados por combustibles utilizados por el establecimiento, para la movilización de los</w:t>
            </w:r>
            <w:r w:rsidR="008A2604">
              <w:rPr>
                <w:rFonts w:eastAsia="Calibri" w:cs="Arial"/>
                <w:sz w:val="20"/>
                <w:lang w:val="es-EC" w:eastAsia="es-EC"/>
              </w:rPr>
              <w:t xml:space="preserve"> </w:t>
            </w:r>
            <w:r>
              <w:rPr>
                <w:rFonts w:eastAsia="Calibri" w:cs="Arial"/>
                <w:sz w:val="20"/>
                <w:lang w:val="es-EC" w:eastAsia="es-EC"/>
              </w:rPr>
              <w:t>vehículos y equipo de transporte, así como también los usados en la producción de calor y fuerza.</w:t>
            </w:r>
          </w:p>
          <w:p w:rsidR="008A2604" w:rsidRDefault="008A2604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</w:p>
          <w:p w:rsidR="00CE1289" w:rsidRDefault="00CE1289" w:rsidP="008A260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Comisiones pagadas a terceros.- </w:t>
            </w:r>
            <w:r>
              <w:rPr>
                <w:rFonts w:eastAsia="Calibri" w:cs="Arial"/>
                <w:sz w:val="20"/>
                <w:lang w:val="es-EC" w:eastAsia="es-EC"/>
              </w:rPr>
              <w:t>Son los pagos que realiza el establecimiento a vendedores, comisionistas y agentes que, sin ser</w:t>
            </w:r>
          </w:p>
          <w:p w:rsidR="00CE1289" w:rsidRDefault="00CE1289" w:rsidP="008A260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proofErr w:type="gramStart"/>
            <w:r>
              <w:rPr>
                <w:rFonts w:eastAsia="Calibri" w:cs="Arial"/>
                <w:sz w:val="20"/>
                <w:lang w:val="es-EC" w:eastAsia="es-EC"/>
              </w:rPr>
              <w:t>personal</w:t>
            </w:r>
            <w:proofErr w:type="gramEnd"/>
            <w:r>
              <w:rPr>
                <w:rFonts w:eastAsia="Calibri" w:cs="Arial"/>
                <w:sz w:val="20"/>
                <w:lang w:val="es-EC" w:eastAsia="es-EC"/>
              </w:rPr>
              <w:t xml:space="preserve"> de planta del establecimiento, realizan trabajos por los cuales reciben comisiones.</w:t>
            </w:r>
          </w:p>
          <w:p w:rsidR="00CE1289" w:rsidRDefault="00CE1289" w:rsidP="008A260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Alquileres.- </w:t>
            </w:r>
            <w:r>
              <w:rPr>
                <w:rFonts w:eastAsia="Calibri" w:cs="Arial"/>
                <w:sz w:val="20"/>
                <w:lang w:val="es-EC" w:eastAsia="es-EC"/>
              </w:rPr>
              <w:t>Son los valores pagados por el alquiler de terrenos, edificios, oficinas, maquinarias, vehículos, etc., utilizados en la</w:t>
            </w:r>
          </w:p>
          <w:p w:rsidR="00CE1289" w:rsidRDefault="00CE1289" w:rsidP="008A260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proofErr w:type="gramStart"/>
            <w:r>
              <w:rPr>
                <w:rFonts w:eastAsia="Calibri" w:cs="Arial"/>
                <w:sz w:val="20"/>
                <w:lang w:val="es-EC" w:eastAsia="es-EC"/>
              </w:rPr>
              <w:t>actividad</w:t>
            </w:r>
            <w:proofErr w:type="gramEnd"/>
            <w:r>
              <w:rPr>
                <w:rFonts w:eastAsia="Calibri" w:cs="Arial"/>
                <w:sz w:val="20"/>
                <w:lang w:val="es-EC" w:eastAsia="es-EC"/>
              </w:rPr>
              <w:t xml:space="preserve"> que desarrolla el establecimiento.</w:t>
            </w:r>
          </w:p>
          <w:p w:rsidR="00CE1289" w:rsidRDefault="00CE1289" w:rsidP="008A260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Publicidad.- </w:t>
            </w:r>
            <w:r>
              <w:rPr>
                <w:rFonts w:eastAsia="Calibri" w:cs="Arial"/>
                <w:sz w:val="20"/>
                <w:lang w:val="es-EC" w:eastAsia="es-EC"/>
              </w:rPr>
              <w:t>Son los valores pagados por concepto de publicidad y propaganda, realizados por el establecimiento. Incluyen las</w:t>
            </w:r>
          </w:p>
          <w:p w:rsidR="00CE1289" w:rsidRDefault="00CE1289" w:rsidP="008A260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proofErr w:type="gramStart"/>
            <w:r>
              <w:rPr>
                <w:rFonts w:eastAsia="Calibri" w:cs="Arial"/>
                <w:sz w:val="20"/>
                <w:lang w:val="es-EC" w:eastAsia="es-EC"/>
              </w:rPr>
              <w:t>muestras</w:t>
            </w:r>
            <w:proofErr w:type="gramEnd"/>
            <w:r>
              <w:rPr>
                <w:rFonts w:eastAsia="Calibri" w:cs="Arial"/>
                <w:sz w:val="20"/>
                <w:lang w:val="es-EC" w:eastAsia="es-EC"/>
              </w:rPr>
              <w:t xml:space="preserve"> gratis a clientes.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Gastos de viajes, viáticos y movilizaciones.- </w:t>
            </w:r>
            <w:r>
              <w:rPr>
                <w:rFonts w:eastAsia="Calibri" w:cs="Arial"/>
                <w:sz w:val="20"/>
                <w:lang w:val="es-EC" w:eastAsia="es-EC"/>
              </w:rPr>
              <w:t>Se refiere a los valores pagados por el establecimiento, en concepto de gastos de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eastAsia="Calibri" w:cs="Arial"/>
                <w:sz w:val="20"/>
                <w:lang w:val="es-EC" w:eastAsia="es-EC"/>
              </w:rPr>
              <w:t>hospedaje, alimentación y movilización de los empleados que tienen que realizar viajes, fuera de su lugar habitual de trabajo, a nombre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proofErr w:type="gramStart"/>
            <w:r>
              <w:rPr>
                <w:rFonts w:eastAsia="Calibri" w:cs="Arial"/>
                <w:sz w:val="20"/>
                <w:lang w:val="es-EC" w:eastAsia="es-EC"/>
              </w:rPr>
              <w:t>del</w:t>
            </w:r>
            <w:proofErr w:type="gramEnd"/>
            <w:r>
              <w:rPr>
                <w:rFonts w:eastAsia="Calibri" w:cs="Arial"/>
                <w:sz w:val="20"/>
                <w:lang w:val="es-EC" w:eastAsia="es-EC"/>
              </w:rPr>
              <w:t xml:space="preserve"> establecimiento.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Primas de seguro (robo, incendio y otros sobre bienes).- </w:t>
            </w:r>
            <w:r>
              <w:rPr>
                <w:rFonts w:eastAsia="Calibri" w:cs="Arial"/>
                <w:sz w:val="20"/>
                <w:lang w:val="es-EC" w:eastAsia="es-EC"/>
              </w:rPr>
              <w:t>Son los valores pagados que realiza el establecimiento para protegerse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proofErr w:type="gramStart"/>
            <w:r>
              <w:rPr>
                <w:rFonts w:eastAsia="Calibri" w:cs="Arial"/>
                <w:sz w:val="20"/>
                <w:lang w:val="es-EC" w:eastAsia="es-EC"/>
              </w:rPr>
              <w:t>contra</w:t>
            </w:r>
            <w:proofErr w:type="gramEnd"/>
            <w:r>
              <w:rPr>
                <w:rFonts w:eastAsia="Calibri" w:cs="Arial"/>
                <w:sz w:val="20"/>
                <w:lang w:val="es-EC" w:eastAsia="es-EC"/>
              </w:rPr>
              <w:t xml:space="preserve"> cualquier tipo de siniestro en sus instalaciones, equipos, muebles y enseres.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Honorarios profesionales (jurídicos, contables y otros profesionales no de planta).- </w:t>
            </w:r>
            <w:r>
              <w:rPr>
                <w:rFonts w:eastAsia="Calibri" w:cs="Arial"/>
                <w:sz w:val="20"/>
                <w:lang w:val="es-EC" w:eastAsia="es-EC"/>
              </w:rPr>
              <w:t>Se refiere a los valores que deben pagarse a</w:t>
            </w:r>
            <w:r w:rsidR="008A2604">
              <w:rPr>
                <w:rFonts w:eastAsia="Calibri" w:cs="Arial"/>
                <w:sz w:val="20"/>
                <w:lang w:val="es-EC" w:eastAsia="es-EC"/>
              </w:rPr>
              <w:t xml:space="preserve"> </w:t>
            </w:r>
            <w:r>
              <w:rPr>
                <w:rFonts w:eastAsia="Calibri" w:cs="Arial"/>
                <w:sz w:val="20"/>
                <w:lang w:val="es-EC" w:eastAsia="es-EC"/>
              </w:rPr>
              <w:t>los profesionales que no tienen relación de dependencia con el establecimiento, pero que realizan eventualmente trabajos para el</w:t>
            </w:r>
            <w:r w:rsidR="008A2604">
              <w:rPr>
                <w:rFonts w:eastAsia="Calibri" w:cs="Arial"/>
                <w:sz w:val="20"/>
                <w:lang w:val="es-EC" w:eastAsia="es-EC"/>
              </w:rPr>
              <w:t xml:space="preserve"> </w:t>
            </w:r>
            <w:r>
              <w:rPr>
                <w:rFonts w:eastAsia="Calibri" w:cs="Arial"/>
                <w:sz w:val="20"/>
                <w:lang w:val="es-EC" w:eastAsia="es-EC"/>
              </w:rPr>
              <w:t>mismo.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Comunicaciones (correo, teléfono, fax, internet, etc.).- </w:t>
            </w:r>
            <w:r>
              <w:rPr>
                <w:rFonts w:eastAsia="Calibri" w:cs="Arial"/>
                <w:sz w:val="20"/>
                <w:lang w:val="es-EC" w:eastAsia="es-EC"/>
              </w:rPr>
              <w:t>Son los valores que debe pagar el establecimiento por todos aquellos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proofErr w:type="gramStart"/>
            <w:r>
              <w:rPr>
                <w:rFonts w:eastAsia="Calibri" w:cs="Arial"/>
                <w:sz w:val="20"/>
                <w:lang w:val="es-EC" w:eastAsia="es-EC"/>
              </w:rPr>
              <w:t>servicios</w:t>
            </w:r>
            <w:proofErr w:type="gramEnd"/>
            <w:r>
              <w:rPr>
                <w:rFonts w:eastAsia="Calibri" w:cs="Arial"/>
                <w:sz w:val="20"/>
                <w:lang w:val="es-EC" w:eastAsia="es-EC"/>
              </w:rPr>
              <w:t xml:space="preserve"> de comunicación utilizados.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Agua.- </w:t>
            </w:r>
            <w:r>
              <w:rPr>
                <w:rFonts w:eastAsia="Calibri" w:cs="Arial"/>
                <w:sz w:val="20"/>
                <w:lang w:val="es-EC" w:eastAsia="es-EC"/>
              </w:rPr>
              <w:t>Es el valor pagado por consumo de agua del establecimiento.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Trabajos de fabricación (hechos por terceros).- </w:t>
            </w:r>
            <w:r>
              <w:rPr>
                <w:rFonts w:eastAsia="Calibri" w:cs="Arial"/>
                <w:sz w:val="20"/>
                <w:lang w:val="es-EC" w:eastAsia="es-EC"/>
              </w:rPr>
              <w:t>Son los valores pagados por el establecimiento, en beneficio de las empresas que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proofErr w:type="gramStart"/>
            <w:r>
              <w:rPr>
                <w:rFonts w:eastAsia="Calibri" w:cs="Arial"/>
                <w:sz w:val="20"/>
                <w:lang w:val="es-EC" w:eastAsia="es-EC"/>
              </w:rPr>
              <w:t>ejecutaron</w:t>
            </w:r>
            <w:proofErr w:type="gramEnd"/>
            <w:r>
              <w:rPr>
                <w:rFonts w:eastAsia="Calibri" w:cs="Arial"/>
                <w:sz w:val="20"/>
                <w:lang w:val="es-EC" w:eastAsia="es-EC"/>
              </w:rPr>
              <w:t xml:space="preserve"> labores de producción de bienes, con materia prima de aquel establecimiento.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Materiales de oficina (útiles y materiales de oficina cuya duración es menor a un año).- </w:t>
            </w:r>
            <w:r>
              <w:rPr>
                <w:rFonts w:eastAsia="Calibri" w:cs="Arial"/>
                <w:sz w:val="20"/>
                <w:lang w:val="es-EC" w:eastAsia="es-EC"/>
              </w:rPr>
              <w:t>Son los valores pagados por el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proofErr w:type="gramStart"/>
            <w:r>
              <w:rPr>
                <w:rFonts w:eastAsia="Calibri" w:cs="Arial"/>
                <w:sz w:val="20"/>
                <w:lang w:val="es-EC" w:eastAsia="es-EC"/>
              </w:rPr>
              <w:t>establecimiento</w:t>
            </w:r>
            <w:proofErr w:type="gramEnd"/>
            <w:r>
              <w:rPr>
                <w:rFonts w:eastAsia="Calibri" w:cs="Arial"/>
                <w:sz w:val="20"/>
                <w:lang w:val="es-EC" w:eastAsia="es-EC"/>
              </w:rPr>
              <w:t>, por todos aquellos útiles de oficina empleados.</w:t>
            </w:r>
          </w:p>
          <w:p w:rsidR="00CE1289" w:rsidRDefault="00CE1289" w:rsidP="00CE128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0"/>
                <w:lang w:val="es-EC" w:eastAsia="es-EC"/>
              </w:rPr>
            </w:pPr>
            <w:r>
              <w:rPr>
                <w:rFonts w:ascii="Symbol" w:eastAsia="Calibri" w:hAnsi="Symbol" w:cs="Symbol"/>
                <w:sz w:val="20"/>
                <w:lang w:val="es-EC" w:eastAsia="es-EC"/>
              </w:rPr>
              <w:t></w:t>
            </w:r>
            <w:r>
              <w:rPr>
                <w:rFonts w:ascii="Arial,Bold" w:eastAsia="Calibri" w:hAnsi="Arial,Bold" w:cs="Arial,Bold"/>
                <w:b/>
                <w:bCs/>
                <w:sz w:val="20"/>
                <w:lang w:val="es-EC" w:eastAsia="es-EC"/>
              </w:rPr>
              <w:t xml:space="preserve">Otros gastos de operación.- </w:t>
            </w:r>
            <w:r>
              <w:rPr>
                <w:rFonts w:eastAsia="Calibri" w:cs="Arial"/>
                <w:sz w:val="20"/>
                <w:lang w:val="es-EC" w:eastAsia="es-EC"/>
              </w:rPr>
              <w:t>Son aquellos gastos que siendo de operación, no corresponden a las categorías anteriormente</w:t>
            </w:r>
          </w:p>
          <w:p w:rsidR="007463A5" w:rsidRPr="00144092" w:rsidRDefault="00CE1289" w:rsidP="00CE12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000000"/>
                <w:sz w:val="24"/>
                <w:szCs w:val="24"/>
                <w:lang w:val="es-CL"/>
              </w:rPr>
            </w:pPr>
            <w:proofErr w:type="gramStart"/>
            <w:r>
              <w:rPr>
                <w:rFonts w:eastAsia="Calibri" w:cs="Arial"/>
                <w:sz w:val="20"/>
                <w:lang w:val="es-EC" w:eastAsia="es-EC"/>
              </w:rPr>
              <w:t>definidas</w:t>
            </w:r>
            <w:proofErr w:type="gramEnd"/>
            <w:r>
              <w:rPr>
                <w:rFonts w:eastAsia="Calibri" w:cs="Arial"/>
                <w:sz w:val="20"/>
                <w:lang w:val="es-EC" w:eastAsia="es-EC"/>
              </w:rPr>
              <w:t>.</w:t>
            </w:r>
          </w:p>
        </w:tc>
      </w:tr>
      <w:tr w:rsidR="007463A5" w:rsidRPr="00FE2CEC" w:rsidTr="006E44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463A5" w:rsidRPr="007E7BFC" w:rsidRDefault="007463A5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auto"/>
                <w:sz w:val="24"/>
                <w:szCs w:val="24"/>
              </w:rPr>
            </w:pPr>
            <w:r w:rsidRPr="007E7BFC">
              <w:rPr>
                <w:rFonts w:ascii="Calibri" w:hAnsi="Calibri"/>
                <w:b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7463A5" w:rsidRPr="00495A99" w:rsidRDefault="00CE1289" w:rsidP="00785F16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 xml:space="preserve">Para el año 2009 </w:t>
            </w:r>
            <w:r w:rsidR="00F113A9">
              <w:rPr>
                <w:rFonts w:ascii="Calibri" w:hAnsi="Calibri"/>
                <w:sz w:val="24"/>
                <w:szCs w:val="24"/>
                <w:lang w:val="es-CL"/>
              </w:rPr>
              <w:t xml:space="preserve">el valor de consumo intermedio generado  por el sector </w:t>
            </w:r>
            <w:r w:rsidR="00785F16">
              <w:rPr>
                <w:rFonts w:ascii="Calibri" w:hAnsi="Calibri"/>
                <w:sz w:val="24"/>
                <w:szCs w:val="24"/>
                <w:lang w:val="es-CL"/>
              </w:rPr>
              <w:t>Comercio Interno</w:t>
            </w:r>
            <w:r w:rsidR="00F113A9">
              <w:rPr>
                <w:rFonts w:ascii="Calibri" w:hAnsi="Calibri"/>
                <w:sz w:val="24"/>
                <w:szCs w:val="24"/>
                <w:lang w:val="es-CL"/>
              </w:rPr>
              <w:t xml:space="preserve"> fue de </w:t>
            </w:r>
            <w:r w:rsidR="00785F16" w:rsidRPr="00785F16">
              <w:rPr>
                <w:rFonts w:ascii="Calibri" w:hAnsi="Calibri"/>
                <w:sz w:val="24"/>
                <w:szCs w:val="24"/>
                <w:lang w:val="es-CL"/>
              </w:rPr>
              <w:t>2</w:t>
            </w:r>
            <w:r w:rsidR="00785F16">
              <w:rPr>
                <w:rFonts w:ascii="Calibri" w:hAnsi="Calibri"/>
                <w:sz w:val="24"/>
                <w:szCs w:val="24"/>
                <w:lang w:val="es-CL"/>
              </w:rPr>
              <w:t>.</w:t>
            </w:r>
            <w:r w:rsidR="00785F16" w:rsidRPr="00785F16">
              <w:rPr>
                <w:rFonts w:ascii="Calibri" w:hAnsi="Calibri"/>
                <w:sz w:val="24"/>
                <w:szCs w:val="24"/>
                <w:lang w:val="es-CL"/>
              </w:rPr>
              <w:t>188</w:t>
            </w:r>
            <w:r w:rsidR="00785F16">
              <w:rPr>
                <w:rFonts w:ascii="Calibri" w:hAnsi="Calibri"/>
                <w:sz w:val="24"/>
                <w:szCs w:val="24"/>
                <w:lang w:val="es-CL"/>
              </w:rPr>
              <w:t>.</w:t>
            </w:r>
            <w:r w:rsidR="00785F16" w:rsidRPr="00785F16">
              <w:rPr>
                <w:rFonts w:ascii="Calibri" w:hAnsi="Calibri"/>
                <w:sz w:val="24"/>
                <w:szCs w:val="24"/>
                <w:lang w:val="es-CL"/>
              </w:rPr>
              <w:t>510</w:t>
            </w:r>
            <w:r w:rsidR="00785F16">
              <w:rPr>
                <w:rFonts w:ascii="Calibri" w:hAnsi="Calibri"/>
                <w:sz w:val="24"/>
                <w:szCs w:val="24"/>
                <w:lang w:val="es-CL"/>
              </w:rPr>
              <w:t>.</w:t>
            </w:r>
            <w:r w:rsidR="00785F16" w:rsidRPr="00785F16">
              <w:rPr>
                <w:rFonts w:ascii="Calibri" w:hAnsi="Calibri"/>
                <w:sz w:val="24"/>
                <w:szCs w:val="24"/>
                <w:lang w:val="es-CL"/>
              </w:rPr>
              <w:t xml:space="preserve">252 </w:t>
            </w:r>
            <w:r>
              <w:rPr>
                <w:rFonts w:ascii="Calibri" w:hAnsi="Calibri"/>
                <w:sz w:val="24"/>
                <w:szCs w:val="24"/>
                <w:lang w:val="es-CL"/>
              </w:rPr>
              <w:t>dólares</w:t>
            </w:r>
            <w:r w:rsidR="00590BD7">
              <w:rPr>
                <w:rFonts w:ascii="Calibri" w:hAnsi="Calibri"/>
                <w:sz w:val="24"/>
                <w:szCs w:val="24"/>
                <w:lang w:val="es-CL"/>
              </w:rPr>
              <w:t>.</w:t>
            </w:r>
          </w:p>
        </w:tc>
      </w:tr>
      <w:tr w:rsidR="007463A5" w:rsidRPr="00FE2CEC" w:rsidTr="006E4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463A5" w:rsidRPr="007E7BFC" w:rsidRDefault="007463A5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auto"/>
                <w:sz w:val="24"/>
                <w:szCs w:val="24"/>
              </w:rPr>
            </w:pPr>
            <w:r w:rsidRPr="007E7BFC">
              <w:rPr>
                <w:rFonts w:ascii="Calibri" w:hAnsi="Calibri"/>
                <w:b/>
                <w:color w:val="000000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7463A5" w:rsidRPr="00144092" w:rsidRDefault="00CE1289" w:rsidP="0014409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Instituto Nacional de Estadística y Censos (INEC)-Dirección de Estadísticas Económicas (DIEC)</w:t>
            </w:r>
          </w:p>
        </w:tc>
      </w:tr>
      <w:tr w:rsidR="007463A5" w:rsidRPr="00FE2CEC" w:rsidTr="006E44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463A5" w:rsidRPr="007E7BFC" w:rsidRDefault="007463A5" w:rsidP="00144092">
            <w:pPr>
              <w:jc w:val="both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7E7BFC">
              <w:rPr>
                <w:rFonts w:ascii="Calibri" w:hAnsi="Calibri"/>
                <w:color w:val="000000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7463A5" w:rsidRPr="00144092" w:rsidRDefault="00590BD7" w:rsidP="00A33AA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Encuesta de </w:t>
            </w:r>
            <w:r w:rsidR="00785F16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Comercio Interno</w:t>
            </w:r>
            <w:r w:rsidR="00A33AAB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.</w:t>
            </w:r>
            <w:bookmarkStart w:id="0" w:name="_GoBack"/>
            <w:bookmarkEnd w:id="0"/>
          </w:p>
        </w:tc>
      </w:tr>
      <w:tr w:rsidR="007463A5" w:rsidRPr="00FE2CEC" w:rsidTr="006E4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463A5" w:rsidRPr="007E7BFC" w:rsidRDefault="007463A5" w:rsidP="00144092">
            <w:pPr>
              <w:jc w:val="both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7E7BFC">
              <w:rPr>
                <w:rFonts w:ascii="Calibri" w:hAnsi="Calibri"/>
                <w:color w:val="000000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7463A5" w:rsidRPr="00144092" w:rsidRDefault="007463A5" w:rsidP="0014409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 w:rsidRPr="00144092">
              <w:rPr>
                <w:rFonts w:ascii="Calibri" w:hAnsi="Calibri"/>
                <w:sz w:val="24"/>
                <w:szCs w:val="24"/>
              </w:rPr>
              <w:t>Nacional, Regional y Provincial</w:t>
            </w:r>
          </w:p>
        </w:tc>
      </w:tr>
      <w:tr w:rsidR="007463A5" w:rsidRPr="00FE2CEC" w:rsidTr="006E44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463A5" w:rsidRPr="007E7BFC" w:rsidRDefault="007463A5" w:rsidP="00144092">
            <w:pPr>
              <w:jc w:val="both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7E7BF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7463A5" w:rsidRPr="00A33AAB" w:rsidRDefault="00A33AAB" w:rsidP="00CE12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2000</w:t>
            </w:r>
            <w:r w:rsidR="00CE1289">
              <w:rPr>
                <w:rFonts w:ascii="Calibri" w:hAnsi="Calibri"/>
                <w:sz w:val="24"/>
                <w:szCs w:val="24"/>
              </w:rPr>
              <w:t xml:space="preserve"> - </w:t>
            </w:r>
            <w:r w:rsidR="007463A5" w:rsidRPr="00144092">
              <w:rPr>
                <w:rFonts w:ascii="Calibri" w:hAnsi="Calibri"/>
                <w:sz w:val="24"/>
                <w:szCs w:val="24"/>
              </w:rPr>
              <w:t>2009</w:t>
            </w:r>
            <w:r w:rsidR="00CE1289">
              <w:rPr>
                <w:rFonts w:ascii="Calibri" w:hAnsi="Calibri"/>
                <w:sz w:val="24"/>
                <w:szCs w:val="24"/>
              </w:rPr>
              <w:t>.</w:t>
            </w:r>
          </w:p>
        </w:tc>
      </w:tr>
      <w:tr w:rsidR="007463A5" w:rsidRPr="00FE2CEC" w:rsidTr="006E4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463A5" w:rsidRPr="007E7BFC" w:rsidRDefault="007463A5" w:rsidP="00144092">
            <w:pPr>
              <w:jc w:val="both"/>
              <w:rPr>
                <w:rFonts w:ascii="Calibri" w:hAnsi="Calibri"/>
                <w:bCs w:val="0"/>
                <w:sz w:val="24"/>
                <w:szCs w:val="24"/>
              </w:rPr>
            </w:pPr>
            <w:r w:rsidRPr="007E7BFC">
              <w:rPr>
                <w:rFonts w:ascii="Calibri" w:hAnsi="Calibri"/>
                <w:sz w:val="24"/>
                <w:szCs w:val="24"/>
              </w:rPr>
              <w:lastRenderedPageBreak/>
              <w:t>Periodicidad de actualización</w:t>
            </w:r>
          </w:p>
        </w:tc>
        <w:tc>
          <w:tcPr>
            <w:tcW w:w="6379" w:type="dxa"/>
          </w:tcPr>
          <w:p w:rsidR="007463A5" w:rsidRPr="00144092" w:rsidRDefault="007463A5" w:rsidP="0014409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4"/>
                <w:szCs w:val="24"/>
              </w:rPr>
            </w:pPr>
            <w:r w:rsidRPr="00144092">
              <w:rPr>
                <w:rFonts w:ascii="Calibri" w:hAnsi="Calibri"/>
                <w:sz w:val="24"/>
                <w:szCs w:val="24"/>
                <w:lang w:val="es-CL"/>
              </w:rPr>
              <w:t>Anual</w:t>
            </w:r>
          </w:p>
        </w:tc>
      </w:tr>
      <w:tr w:rsidR="007463A5" w:rsidRPr="00FE2CEC" w:rsidTr="006E44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463A5" w:rsidRPr="007E7BFC" w:rsidRDefault="007463A5" w:rsidP="00144092">
            <w:pPr>
              <w:jc w:val="both"/>
              <w:rPr>
                <w:rFonts w:ascii="Calibri" w:hAnsi="Calibri"/>
                <w:bCs w:val="0"/>
                <w:sz w:val="24"/>
                <w:szCs w:val="24"/>
              </w:rPr>
            </w:pPr>
            <w:r w:rsidRPr="007E7BFC">
              <w:rPr>
                <w:rFonts w:ascii="Calibri" w:hAnsi="Calibr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7463A5" w:rsidRPr="00144092" w:rsidRDefault="00CE1289" w:rsidP="00144092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</w:rPr>
            </w:pPr>
            <w:r>
              <w:rPr>
                <w:rFonts w:eastAsia="Calibri" w:cs="Arial"/>
                <w:sz w:val="20"/>
                <w:lang w:val="es-EC" w:eastAsia="es-EC"/>
              </w:rPr>
              <w:t>Para establecer un marco de información necesaria que permita analizar la estructura del sector y facilitar su diagnóstico y planificación.</w:t>
            </w:r>
          </w:p>
        </w:tc>
      </w:tr>
      <w:tr w:rsidR="007463A5" w:rsidRPr="00FE2CEC" w:rsidTr="006E4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463A5" w:rsidRPr="007E7BFC" w:rsidRDefault="007463A5" w:rsidP="00144092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 w:rsidRPr="007E7BFC">
              <w:rPr>
                <w:rFonts w:ascii="Calibri" w:hAnsi="Calibri" w:cs="Arial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7463A5" w:rsidRPr="00144092" w:rsidRDefault="00CE1289" w:rsidP="0014409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N/A</w:t>
            </w:r>
          </w:p>
        </w:tc>
      </w:tr>
      <w:tr w:rsidR="007463A5" w:rsidRPr="00FE2CEC" w:rsidTr="006E445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463A5" w:rsidRPr="007E7BFC" w:rsidRDefault="007463A5" w:rsidP="00144092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7E7BFC">
              <w:rPr>
                <w:rFonts w:ascii="Calibri" w:hAnsi="Calibr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7E7BFC">
              <w:rPr>
                <w:rFonts w:ascii="Calibri" w:hAnsi="Calibr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7463A5" w:rsidRPr="00144092" w:rsidRDefault="00A33AAB" w:rsidP="0014409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No</w:t>
            </w:r>
          </w:p>
        </w:tc>
      </w:tr>
      <w:tr w:rsidR="007463A5" w:rsidRPr="00FE2CEC" w:rsidTr="006E4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463A5" w:rsidRPr="007E7BFC" w:rsidRDefault="007463A5" w:rsidP="00144092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7E7BFC">
              <w:rPr>
                <w:rFonts w:ascii="Calibri" w:hAnsi="Calibri" w:cs="Arial"/>
                <w:sz w:val="24"/>
                <w:szCs w:val="24"/>
                <w:lang w:eastAsia="es-ES"/>
              </w:rPr>
              <w:t>Fecha de elaboración de la ficha:</w:t>
            </w:r>
          </w:p>
          <w:p w:rsidR="007463A5" w:rsidRPr="007E7BFC" w:rsidRDefault="007463A5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</w:tcPr>
          <w:p w:rsidR="007463A5" w:rsidRPr="00144092" w:rsidRDefault="00CE1289" w:rsidP="0014409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20</w:t>
            </w:r>
            <w:r w:rsidR="007463A5" w:rsidRPr="00144092">
              <w:rPr>
                <w:rFonts w:ascii="Calibri" w:hAnsi="Calibri" w:cs="Arial"/>
                <w:sz w:val="24"/>
                <w:szCs w:val="24"/>
                <w:lang w:eastAsia="es-ES"/>
              </w:rPr>
              <w:t>-Junio-2012.</w:t>
            </w:r>
          </w:p>
        </w:tc>
      </w:tr>
    </w:tbl>
    <w:p w:rsidR="00763F46" w:rsidRPr="00144092" w:rsidRDefault="00763F46" w:rsidP="0026289F">
      <w:pPr>
        <w:jc w:val="both"/>
        <w:rPr>
          <w:rFonts w:ascii="Calibri" w:hAnsi="Calibri"/>
          <w:sz w:val="24"/>
          <w:szCs w:val="24"/>
          <w:lang w:val="es-CL"/>
        </w:rPr>
      </w:pPr>
    </w:p>
    <w:p w:rsidR="00D72D82" w:rsidRPr="00144092" w:rsidRDefault="00D72D82" w:rsidP="0026289F">
      <w:pPr>
        <w:jc w:val="both"/>
        <w:rPr>
          <w:rFonts w:ascii="Calibri" w:hAnsi="Calibri"/>
          <w:sz w:val="24"/>
          <w:szCs w:val="24"/>
          <w:lang w:val="es-CL"/>
        </w:rPr>
      </w:pPr>
    </w:p>
    <w:p w:rsidR="00D72D82" w:rsidRPr="00144092" w:rsidRDefault="00D72D82" w:rsidP="0026289F">
      <w:pPr>
        <w:jc w:val="both"/>
        <w:rPr>
          <w:rFonts w:ascii="Calibri" w:hAnsi="Calibri"/>
          <w:sz w:val="24"/>
          <w:szCs w:val="24"/>
          <w:lang w:val="es-CL"/>
        </w:rPr>
      </w:pPr>
    </w:p>
    <w:sectPr w:rsidR="00D72D82" w:rsidRPr="00144092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3D4" w:rsidRDefault="00CC43D4" w:rsidP="00FC47BC">
      <w:r>
        <w:separator/>
      </w:r>
    </w:p>
  </w:endnote>
  <w:endnote w:type="continuationSeparator" w:id="0">
    <w:p w:rsidR="00CC43D4" w:rsidRDefault="00CC43D4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D3FA3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3D4" w:rsidRDefault="00CC43D4" w:rsidP="00FC47BC">
      <w:r>
        <w:separator/>
      </w:r>
    </w:p>
  </w:footnote>
  <w:footnote w:type="continuationSeparator" w:id="0">
    <w:p w:rsidR="00CC43D4" w:rsidRDefault="00CC43D4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16363"/>
    <w:rsid w:val="000211AC"/>
    <w:rsid w:val="0002306B"/>
    <w:rsid w:val="00023249"/>
    <w:rsid w:val="00031AFB"/>
    <w:rsid w:val="000632EE"/>
    <w:rsid w:val="00067746"/>
    <w:rsid w:val="000775A3"/>
    <w:rsid w:val="00092863"/>
    <w:rsid w:val="000950CA"/>
    <w:rsid w:val="000A3CEE"/>
    <w:rsid w:val="000E3E18"/>
    <w:rsid w:val="000E3F2C"/>
    <w:rsid w:val="000E71D9"/>
    <w:rsid w:val="000F246B"/>
    <w:rsid w:val="000F31BF"/>
    <w:rsid w:val="00100A4E"/>
    <w:rsid w:val="00110710"/>
    <w:rsid w:val="001277BF"/>
    <w:rsid w:val="00144092"/>
    <w:rsid w:val="0015191A"/>
    <w:rsid w:val="001529C1"/>
    <w:rsid w:val="00193950"/>
    <w:rsid w:val="001A0B9F"/>
    <w:rsid w:val="001A5616"/>
    <w:rsid w:val="001B1E6A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6232"/>
    <w:rsid w:val="00214D5F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A0F90"/>
    <w:rsid w:val="002A61FB"/>
    <w:rsid w:val="002C2B39"/>
    <w:rsid w:val="002E5A7E"/>
    <w:rsid w:val="002F6A2C"/>
    <w:rsid w:val="00306E84"/>
    <w:rsid w:val="00325832"/>
    <w:rsid w:val="00331AD9"/>
    <w:rsid w:val="0036065B"/>
    <w:rsid w:val="00367D62"/>
    <w:rsid w:val="003778A6"/>
    <w:rsid w:val="00387B22"/>
    <w:rsid w:val="003A14AE"/>
    <w:rsid w:val="003A195D"/>
    <w:rsid w:val="003A76D6"/>
    <w:rsid w:val="003B197E"/>
    <w:rsid w:val="003B6A0C"/>
    <w:rsid w:val="003D2B37"/>
    <w:rsid w:val="003D3EEF"/>
    <w:rsid w:val="003D7DB2"/>
    <w:rsid w:val="003E74EA"/>
    <w:rsid w:val="003F340A"/>
    <w:rsid w:val="003F5ADD"/>
    <w:rsid w:val="00405E63"/>
    <w:rsid w:val="00413F47"/>
    <w:rsid w:val="00424D3F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95A99"/>
    <w:rsid w:val="004A4425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27641"/>
    <w:rsid w:val="00534E1F"/>
    <w:rsid w:val="00535F4B"/>
    <w:rsid w:val="00541C3C"/>
    <w:rsid w:val="00566C2E"/>
    <w:rsid w:val="0058564D"/>
    <w:rsid w:val="00587537"/>
    <w:rsid w:val="00590BD7"/>
    <w:rsid w:val="0059188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356"/>
    <w:rsid w:val="006C470A"/>
    <w:rsid w:val="006D50BB"/>
    <w:rsid w:val="006E0F74"/>
    <w:rsid w:val="006E4451"/>
    <w:rsid w:val="006F2E56"/>
    <w:rsid w:val="00701991"/>
    <w:rsid w:val="00703691"/>
    <w:rsid w:val="007207D2"/>
    <w:rsid w:val="0072291C"/>
    <w:rsid w:val="00736464"/>
    <w:rsid w:val="007463A5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85F16"/>
    <w:rsid w:val="00790ADE"/>
    <w:rsid w:val="00791AAE"/>
    <w:rsid w:val="00791F75"/>
    <w:rsid w:val="00793DC6"/>
    <w:rsid w:val="007A1AE0"/>
    <w:rsid w:val="007A41ED"/>
    <w:rsid w:val="007E7BFC"/>
    <w:rsid w:val="007F5483"/>
    <w:rsid w:val="00805A66"/>
    <w:rsid w:val="0081482C"/>
    <w:rsid w:val="00822DC9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2254"/>
    <w:rsid w:val="008A2604"/>
    <w:rsid w:val="008A5C61"/>
    <w:rsid w:val="008D2ACE"/>
    <w:rsid w:val="00911846"/>
    <w:rsid w:val="0092495F"/>
    <w:rsid w:val="0092739B"/>
    <w:rsid w:val="009501EF"/>
    <w:rsid w:val="00955B28"/>
    <w:rsid w:val="00983F91"/>
    <w:rsid w:val="00996665"/>
    <w:rsid w:val="00997DCC"/>
    <w:rsid w:val="009A7143"/>
    <w:rsid w:val="009B0489"/>
    <w:rsid w:val="009C2CA4"/>
    <w:rsid w:val="009C37F2"/>
    <w:rsid w:val="009D3FA3"/>
    <w:rsid w:val="009E7A02"/>
    <w:rsid w:val="00A11EA0"/>
    <w:rsid w:val="00A261B0"/>
    <w:rsid w:val="00A33AAB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F11CF"/>
    <w:rsid w:val="00B256F2"/>
    <w:rsid w:val="00B318EE"/>
    <w:rsid w:val="00B32FB8"/>
    <w:rsid w:val="00B40889"/>
    <w:rsid w:val="00B50C20"/>
    <w:rsid w:val="00B50D96"/>
    <w:rsid w:val="00B57CAA"/>
    <w:rsid w:val="00B74C88"/>
    <w:rsid w:val="00B74CA2"/>
    <w:rsid w:val="00B8454E"/>
    <w:rsid w:val="00B918F2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D7851"/>
    <w:rsid w:val="00BE3162"/>
    <w:rsid w:val="00BE4F57"/>
    <w:rsid w:val="00BE68F1"/>
    <w:rsid w:val="00BF134F"/>
    <w:rsid w:val="00BF14A5"/>
    <w:rsid w:val="00BF3634"/>
    <w:rsid w:val="00C058D5"/>
    <w:rsid w:val="00C24E3E"/>
    <w:rsid w:val="00C275B8"/>
    <w:rsid w:val="00C41E16"/>
    <w:rsid w:val="00C51DCC"/>
    <w:rsid w:val="00C57511"/>
    <w:rsid w:val="00C77189"/>
    <w:rsid w:val="00C80A4A"/>
    <w:rsid w:val="00CA2CC7"/>
    <w:rsid w:val="00CB39CA"/>
    <w:rsid w:val="00CC43D4"/>
    <w:rsid w:val="00CC5792"/>
    <w:rsid w:val="00CE1289"/>
    <w:rsid w:val="00CE5D5E"/>
    <w:rsid w:val="00CF34BE"/>
    <w:rsid w:val="00D00C56"/>
    <w:rsid w:val="00D056DD"/>
    <w:rsid w:val="00D1209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7F4F"/>
    <w:rsid w:val="00DF15A4"/>
    <w:rsid w:val="00DF5C11"/>
    <w:rsid w:val="00E0032D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C3285"/>
    <w:rsid w:val="00EC5B27"/>
    <w:rsid w:val="00EE276F"/>
    <w:rsid w:val="00EE333C"/>
    <w:rsid w:val="00EF077C"/>
    <w:rsid w:val="00EF7FEE"/>
    <w:rsid w:val="00F0103F"/>
    <w:rsid w:val="00F0188C"/>
    <w:rsid w:val="00F113A9"/>
    <w:rsid w:val="00F11765"/>
    <w:rsid w:val="00F34200"/>
    <w:rsid w:val="00F5519B"/>
    <w:rsid w:val="00F87BCB"/>
    <w:rsid w:val="00FA47B2"/>
    <w:rsid w:val="00FB52CC"/>
    <w:rsid w:val="00FC47BC"/>
    <w:rsid w:val="00FD08E7"/>
    <w:rsid w:val="00FD37E4"/>
    <w:rsid w:val="00FE2CEC"/>
    <w:rsid w:val="00FE6E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rPr>
      <w:rFonts w:ascii="Arial" w:eastAsia="Times New Roman" w:hAnsi="Arial"/>
      <w:sz w:val="22"/>
      <w:lang w:val="es-ES" w:eastAsia="en-US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  <w:rPr>
      <w:sz w:val="20"/>
    </w:rPr>
  </w:style>
  <w:style w:type="character" w:customStyle="1" w:styleId="EncabezadoCar">
    <w:name w:val="Encabezado Ca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  <w:rPr>
      <w:sz w:val="20"/>
    </w:rPr>
  </w:style>
  <w:style w:type="character" w:customStyle="1" w:styleId="PiedepginaCar">
    <w:name w:val="Pie de página Ca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Cuadrculaclara-nfasis5">
    <w:name w:val="Light Grid Accent 5"/>
    <w:basedOn w:val="Tablanormal"/>
    <w:uiPriority w:val="62"/>
    <w:rsid w:val="0070369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aconcuadrcula">
    <w:name w:val="Table Grid"/>
    <w:basedOn w:val="Tablanormal"/>
    <w:uiPriority w:val="59"/>
    <w:rsid w:val="00793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unhideWhenUsed/>
    <w:rsid w:val="00FD37E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7463A5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63A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63A5"/>
    <w:rPr>
      <w:rFonts w:ascii="Tahoma" w:eastAsia="Times New Roman" w:hAnsi="Tahoma" w:cs="Tahoma"/>
      <w:sz w:val="16"/>
      <w:szCs w:val="16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rPr>
      <w:rFonts w:ascii="Arial" w:eastAsia="Times New Roman" w:hAnsi="Arial"/>
      <w:sz w:val="22"/>
      <w:lang w:val="es-ES" w:eastAsia="en-US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  <w:rPr>
      <w:sz w:val="20"/>
    </w:rPr>
  </w:style>
  <w:style w:type="character" w:customStyle="1" w:styleId="EncabezadoCar">
    <w:name w:val="Encabezado Ca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  <w:rPr>
      <w:sz w:val="20"/>
    </w:rPr>
  </w:style>
  <w:style w:type="character" w:customStyle="1" w:styleId="PiedepginaCar">
    <w:name w:val="Pie de página Ca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Cuadrculaclara-nfasis5">
    <w:name w:val="Light Grid Accent 5"/>
    <w:basedOn w:val="Tablanormal"/>
    <w:uiPriority w:val="62"/>
    <w:rsid w:val="0070369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aconcuadrcula">
    <w:name w:val="Table Grid"/>
    <w:basedOn w:val="Tablanormal"/>
    <w:uiPriority w:val="59"/>
    <w:rsid w:val="00793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unhideWhenUsed/>
    <w:rsid w:val="00FD37E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7463A5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63A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63A5"/>
    <w:rPr>
      <w:rFonts w:ascii="Tahoma" w:eastAsia="Times New Roman" w:hAnsi="Tahoma" w:cs="Tahoma"/>
      <w:sz w:val="16"/>
      <w:szCs w:val="16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74E86-6779-4301-8693-3FD017118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5133</CharactersWithSpaces>
  <SharedDoc>false</SharedDoc>
  <HLinks>
    <vt:vector size="12" baseType="variant">
      <vt:variant>
        <vt:i4>6291522</vt:i4>
      </vt:variant>
      <vt:variant>
        <vt:i4>3</vt:i4>
      </vt:variant>
      <vt:variant>
        <vt:i4>0</vt:i4>
      </vt:variant>
      <vt:variant>
        <vt:i4>5</vt:i4>
      </vt:variant>
      <vt:variant>
        <vt:lpwstr>http://www.inec.gob.ec/inec/index.php?option=com_content&amp;view=article&amp;id=134&amp;Itemid=396</vt:lpwstr>
      </vt:variant>
      <vt:variant>
        <vt:lpwstr/>
      </vt:variant>
      <vt:variant>
        <vt:i4>2818109</vt:i4>
      </vt:variant>
      <vt:variant>
        <vt:i4>0</vt:i4>
      </vt:variant>
      <vt:variant>
        <vt:i4>0</vt:i4>
      </vt:variant>
      <vt:variant>
        <vt:i4>5</vt:i4>
      </vt:variant>
      <vt:variant>
        <vt:lpwstr>http://www.inec.gob.ec/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INEC Nadia Cardenas</cp:lastModifiedBy>
  <cp:revision>2</cp:revision>
  <dcterms:created xsi:type="dcterms:W3CDTF">2012-06-30T16:08:00Z</dcterms:created>
  <dcterms:modified xsi:type="dcterms:W3CDTF">2012-06-30T16:08:00Z</dcterms:modified>
</cp:coreProperties>
</file>